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923"/>
        </w:tabs>
        <w:snapToGrid w:val="0"/>
        <w:jc w:val="center"/>
        <w:rPr>
          <w:rFonts w:hint="eastAsia" w:ascii="黑体" w:hAnsi="黑体" w:eastAsia="黑体" w:cs="黑体"/>
          <w:color w:val="000000"/>
          <w:sz w:val="44"/>
          <w:szCs w:val="44"/>
        </w:rPr>
      </w:pPr>
      <w:r>
        <w:rPr>
          <w:rFonts w:hint="eastAsia" w:ascii="黑体" w:hAnsi="黑体" w:eastAsia="黑体" w:cs="黑体"/>
          <w:color w:val="000000"/>
          <w:sz w:val="44"/>
          <w:szCs w:val="44"/>
        </w:rPr>
        <w:t>乌县（</w:t>
      </w:r>
      <w:r>
        <w:rPr>
          <w:rFonts w:hint="eastAsia" w:ascii="黑体" w:hAnsi="黑体" w:eastAsia="黑体" w:cs="黑体"/>
          <w:color w:val="000000"/>
          <w:sz w:val="44"/>
          <w:szCs w:val="44"/>
          <w:lang w:eastAsia="zh-CN"/>
        </w:rPr>
        <w:t>托里卫生院</w:t>
      </w:r>
      <w:r>
        <w:rPr>
          <w:rFonts w:hint="eastAsia" w:ascii="黑体" w:hAnsi="黑体" w:eastAsia="黑体" w:cs="黑体"/>
          <w:color w:val="000000"/>
          <w:sz w:val="44"/>
          <w:szCs w:val="44"/>
        </w:rPr>
        <w:t>）2016年度部门决算情况说明</w:t>
      </w:r>
    </w:p>
    <w:p>
      <w:pPr>
        <w:tabs>
          <w:tab w:val="left" w:pos="9923"/>
        </w:tabs>
        <w:snapToGrid w:val="0"/>
        <w:jc w:val="center"/>
        <w:rPr>
          <w:rFonts w:hint="eastAsia" w:eastAsia="黑体" w:cs="Times New Roman"/>
          <w:bCs/>
          <w:sz w:val="30"/>
          <w:szCs w:val="32"/>
        </w:rPr>
      </w:pPr>
      <w:r>
        <w:rPr>
          <w:rFonts w:hint="eastAsia" w:eastAsia="黑体" w:cs="Times New Roman"/>
          <w:bCs/>
          <w:sz w:val="30"/>
          <w:szCs w:val="32"/>
        </w:rPr>
        <w:t xml:space="preserve">    </w:t>
      </w:r>
    </w:p>
    <w:p>
      <w:pPr>
        <w:snapToGrid w:val="0"/>
        <w:rPr>
          <w:rFonts w:hint="eastAsia" w:eastAsia="黑体" w:cs="Times New Roman"/>
          <w:bCs/>
          <w:sz w:val="30"/>
          <w:szCs w:val="32"/>
        </w:rPr>
      </w:pPr>
    </w:p>
    <w:p>
      <w:pPr>
        <w:numPr>
          <w:ilvl w:val="0"/>
          <w:numId w:val="1"/>
        </w:numPr>
        <w:snapToGrid w:val="0"/>
        <w:spacing w:line="360" w:lineRule="auto"/>
        <w:ind w:left="750" w:leftChars="0" w:firstLine="0" w:firstLineChars="0"/>
        <w:rPr>
          <w:rFonts w:hint="eastAsia" w:eastAsia="黑体" w:cs="Times New Roman"/>
          <w:bCs/>
          <w:sz w:val="30"/>
          <w:szCs w:val="32"/>
        </w:rPr>
      </w:pPr>
      <w:r>
        <w:rPr>
          <w:rFonts w:hint="eastAsia" w:eastAsia="黑体" w:cs="Times New Roman"/>
          <w:bCs/>
          <w:sz w:val="30"/>
          <w:szCs w:val="32"/>
          <w:lang w:eastAsia="zh-CN"/>
        </w:rPr>
        <w:t>托里卫生院</w:t>
      </w:r>
      <w:r>
        <w:rPr>
          <w:rFonts w:hint="eastAsia" w:eastAsia="黑体" w:cs="Times New Roman"/>
          <w:bCs/>
          <w:sz w:val="30"/>
          <w:szCs w:val="32"/>
        </w:rPr>
        <w:t>收入支出决算总体情况说明</w:t>
      </w:r>
    </w:p>
    <w:p>
      <w:pPr>
        <w:pStyle w:val="4"/>
        <w:numPr>
          <w:ilvl w:val="0"/>
          <w:numId w:val="2"/>
        </w:numPr>
        <w:spacing w:line="560" w:lineRule="exact"/>
        <w:ind w:firstLineChars="0"/>
        <w:jc w:val="left"/>
        <w:rPr>
          <w:rFonts w:hint="eastAsia" w:ascii="仿宋" w:hAnsi="仿宋" w:eastAsia="仿宋"/>
          <w:b/>
          <w:sz w:val="32"/>
          <w:szCs w:val="32"/>
        </w:rPr>
      </w:pPr>
      <w:r>
        <w:rPr>
          <w:rFonts w:hint="eastAsia" w:ascii="仿宋" w:hAnsi="仿宋" w:eastAsia="仿宋"/>
          <w:b/>
          <w:sz w:val="32"/>
          <w:szCs w:val="32"/>
          <w:lang w:eastAsia="zh-CN"/>
        </w:rPr>
        <w:t>托里</w:t>
      </w:r>
      <w:r>
        <w:rPr>
          <w:rFonts w:hint="eastAsia" w:ascii="仿宋" w:hAnsi="仿宋" w:eastAsia="仿宋"/>
          <w:b/>
          <w:sz w:val="32"/>
          <w:szCs w:val="32"/>
        </w:rPr>
        <w:t>主要职责</w:t>
      </w:r>
    </w:p>
    <w:p>
      <w:pPr>
        <w:pStyle w:val="4"/>
        <w:numPr>
          <w:ilvl w:val="0"/>
          <w:numId w:val="0"/>
        </w:numPr>
        <w:spacing w:line="560" w:lineRule="exact"/>
        <w:ind w:leftChars="2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我院主要负责所在地区内医疗卫生工作、组织领导群众卫生运动、培训卫生技术人员、并对基层医疗机构进行业务指导和会诊工作、是农村三级医疗网点的重要环节、担负着辖区内的医疗防疫、保健的重要任务、是直接解决农村看病难、看病贵的重要一关、具体工作职责如下：</w:t>
      </w:r>
    </w:p>
    <w:p>
      <w:pPr>
        <w:pStyle w:val="4"/>
        <w:numPr>
          <w:ilvl w:val="0"/>
          <w:numId w:val="0"/>
        </w:numPr>
        <w:spacing w:line="560" w:lineRule="exact"/>
        <w:ind w:leftChars="200"/>
        <w:jc w:val="left"/>
        <w:rPr>
          <w:rFonts w:hint="eastAsia" w:ascii="仿宋" w:hAnsi="仿宋" w:eastAsia="仿宋"/>
          <w:b/>
          <w:sz w:val="32"/>
          <w:szCs w:val="32"/>
          <w:lang w:val="en-US" w:eastAsia="zh-CN"/>
        </w:rPr>
      </w:pPr>
    </w:p>
    <w:p>
      <w:pPr>
        <w:pStyle w:val="4"/>
        <w:numPr>
          <w:ilvl w:val="0"/>
          <w:numId w:val="3"/>
        </w:numPr>
        <w:spacing w:line="560" w:lineRule="exact"/>
        <w:ind w:leftChars="2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提供基本公共卫生服务、</w:t>
      </w:r>
    </w:p>
    <w:p>
      <w:pPr>
        <w:pStyle w:val="4"/>
        <w:numPr>
          <w:ilvl w:val="0"/>
          <w:numId w:val="4"/>
        </w:numPr>
        <w:spacing w:line="560" w:lineRule="exact"/>
        <w:ind w:leftChars="4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承担本镇农村居民健康档案规范建档指导管理及服务。</w:t>
      </w:r>
    </w:p>
    <w:p>
      <w:pPr>
        <w:pStyle w:val="4"/>
        <w:numPr>
          <w:ilvl w:val="0"/>
          <w:numId w:val="4"/>
        </w:numPr>
        <w:spacing w:line="560" w:lineRule="exact"/>
        <w:ind w:leftChars="4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普及卫生保健常识、在重点人群和重点场所开展健康教育、帮助居民形成有利于维护和增进健康的行为方式、指导开展爱国卫生工作。</w:t>
      </w:r>
    </w:p>
    <w:p>
      <w:pPr>
        <w:pStyle w:val="4"/>
        <w:numPr>
          <w:ilvl w:val="0"/>
          <w:numId w:val="4"/>
        </w:numPr>
        <w:spacing w:line="560" w:lineRule="exact"/>
        <w:ind w:leftChars="4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提供并组织实施本镇预防接种服务、落实国家免疫规划</w:t>
      </w:r>
    </w:p>
    <w:p>
      <w:pPr>
        <w:pStyle w:val="4"/>
        <w:numPr>
          <w:ilvl w:val="0"/>
          <w:numId w:val="4"/>
        </w:numPr>
        <w:spacing w:line="560" w:lineRule="exact"/>
        <w:ind w:leftChars="4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及时发现、登记并报告本镇内发现的传染病病例和疑似病例、参与现场疫情处理。</w:t>
      </w:r>
    </w:p>
    <w:p>
      <w:pPr>
        <w:pStyle w:val="4"/>
        <w:numPr>
          <w:ilvl w:val="0"/>
          <w:numId w:val="4"/>
        </w:numPr>
        <w:spacing w:line="560" w:lineRule="exact"/>
        <w:ind w:leftChars="4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开展新生儿访视及儿童保健系统管理、进行体格检查和生长发育检测及评价、开展健康指导。</w:t>
      </w:r>
    </w:p>
    <w:p>
      <w:pPr>
        <w:pStyle w:val="4"/>
        <w:numPr>
          <w:ilvl w:val="0"/>
          <w:numId w:val="4"/>
        </w:numPr>
        <w:spacing w:line="560" w:lineRule="exact"/>
        <w:ind w:left="840" w:leftChars="400" w:firstLine="640" w:firstLineChars="2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开展孕产妇保健系统管理和产后访视、进行一般体格检查及孕期营养、心理等健康指导。</w:t>
      </w:r>
    </w:p>
    <w:p>
      <w:pPr>
        <w:pStyle w:val="4"/>
        <w:numPr>
          <w:ilvl w:val="0"/>
          <w:numId w:val="4"/>
        </w:numPr>
        <w:spacing w:line="560" w:lineRule="exact"/>
        <w:ind w:left="840" w:leftChars="400" w:firstLine="640" w:firstLineChars="2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对本镇65岁及以上老年人进行登记管理、进行健康危险因素调查和一般体格检查、开展健康指导。</w:t>
      </w:r>
    </w:p>
    <w:p>
      <w:pPr>
        <w:pStyle w:val="4"/>
        <w:numPr>
          <w:ilvl w:val="0"/>
          <w:numId w:val="4"/>
        </w:numPr>
        <w:spacing w:line="560" w:lineRule="exact"/>
        <w:ind w:left="840" w:leftChars="400" w:firstLine="640" w:firstLineChars="2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对高血压、糖尿病等慢性病高危人群进行指导、对确诊高血压、糖尿病等慢性病病例进行登记管理、治疗随访和康复指导。</w:t>
      </w:r>
    </w:p>
    <w:p>
      <w:pPr>
        <w:pStyle w:val="4"/>
        <w:numPr>
          <w:ilvl w:val="0"/>
          <w:numId w:val="4"/>
        </w:numPr>
        <w:spacing w:line="560" w:lineRule="exact"/>
        <w:ind w:left="840" w:leftChars="400" w:firstLine="640" w:firstLineChars="2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对本镇重性精神疾病患者进行登记管理、治疗随访和康复指导。</w:t>
      </w:r>
    </w:p>
    <w:p>
      <w:pPr>
        <w:pStyle w:val="4"/>
        <w:numPr>
          <w:ilvl w:val="0"/>
          <w:numId w:val="4"/>
        </w:numPr>
        <w:spacing w:line="560" w:lineRule="exact"/>
        <w:ind w:left="840" w:leftChars="400" w:firstLine="640" w:firstLineChars="2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负责本镇内突发公共卫生事件的报告并协助处理</w:t>
      </w:r>
    </w:p>
    <w:p>
      <w:pPr>
        <w:pStyle w:val="4"/>
        <w:numPr>
          <w:ilvl w:val="0"/>
          <w:numId w:val="4"/>
        </w:numPr>
        <w:spacing w:line="560" w:lineRule="exact"/>
        <w:ind w:left="840" w:leftChars="400" w:firstLine="640" w:firstLineChars="2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做好卫生行政部门规定的其他公共卫生服务。</w:t>
      </w:r>
    </w:p>
    <w:p>
      <w:pPr>
        <w:pStyle w:val="4"/>
        <w:numPr>
          <w:ilvl w:val="0"/>
          <w:numId w:val="3"/>
        </w:numPr>
        <w:spacing w:line="560" w:lineRule="exact"/>
        <w:ind w:left="420" w:leftChars="200" w:firstLine="640" w:firstLineChars="2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提供基本医疗服务</w:t>
      </w:r>
    </w:p>
    <w:p>
      <w:pPr>
        <w:pStyle w:val="4"/>
        <w:numPr>
          <w:ilvl w:val="0"/>
          <w:numId w:val="5"/>
        </w:numPr>
        <w:spacing w:line="560" w:lineRule="exact"/>
        <w:ind w:leftChars="4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使用农村适宜医疗技术和中医药技术、正确处理常见病、多发病、对疑难重症进行恰当的处理并转诊。承担乡村现场应急救护、转诊服务和康复服务。</w:t>
      </w:r>
    </w:p>
    <w:p>
      <w:pPr>
        <w:pStyle w:val="4"/>
        <w:numPr>
          <w:ilvl w:val="0"/>
          <w:numId w:val="5"/>
        </w:numPr>
        <w:spacing w:line="560" w:lineRule="exact"/>
        <w:ind w:leftChars="4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健全消毒、隔离制度、遵守无菌操作规程、加强医疗质量管理、做好医疗废物处理和污水、污物无害化处理。</w:t>
      </w:r>
    </w:p>
    <w:p>
      <w:pPr>
        <w:pStyle w:val="4"/>
        <w:numPr>
          <w:ilvl w:val="0"/>
          <w:numId w:val="5"/>
        </w:numPr>
        <w:spacing w:line="560" w:lineRule="exact"/>
        <w:ind w:leftChars="4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执行国家基本药物制度药品集中采购、零差率销售的政策为实施一体化管理的村卫生室统一代购药品。</w:t>
      </w:r>
    </w:p>
    <w:p>
      <w:pPr>
        <w:pStyle w:val="4"/>
        <w:numPr>
          <w:ilvl w:val="0"/>
          <w:numId w:val="0"/>
        </w:numPr>
        <w:spacing w:line="560" w:lineRule="exact"/>
        <w:ind w:leftChars="6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三、承担公共卫生管理</w:t>
      </w:r>
    </w:p>
    <w:p>
      <w:pPr>
        <w:pStyle w:val="4"/>
        <w:numPr>
          <w:ilvl w:val="0"/>
          <w:numId w:val="6"/>
        </w:numPr>
        <w:spacing w:line="560" w:lineRule="exact"/>
        <w:ind w:leftChars="6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对本镇内传染病防治、学校卫生、食品卫生、饮水卫生、职业卫生、以及村级预防保健工作进行指导、培训、考核与监督。</w:t>
      </w:r>
    </w:p>
    <w:p>
      <w:pPr>
        <w:pStyle w:val="4"/>
        <w:numPr>
          <w:ilvl w:val="0"/>
          <w:numId w:val="6"/>
        </w:numPr>
        <w:spacing w:line="560" w:lineRule="exact"/>
        <w:ind w:leftChars="6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严格执行农村医保政策规定、履行定点医疗机构职责、做好有关的政策宣传、监督及服务工作。</w:t>
      </w:r>
    </w:p>
    <w:p>
      <w:pPr>
        <w:pStyle w:val="4"/>
        <w:numPr>
          <w:ilvl w:val="0"/>
          <w:numId w:val="6"/>
        </w:numPr>
        <w:spacing w:line="560" w:lineRule="exact"/>
        <w:ind w:leftChars="6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深入推进乡村医疗服务一体化管理、对村卫生室实行以行政、人员、业务、药品、财产为基本内容的“五统一”规范管理、负责村卫生室的技术指导和乡村医生培训等工作。</w:t>
      </w:r>
    </w:p>
    <w:p>
      <w:pPr>
        <w:pStyle w:val="4"/>
        <w:numPr>
          <w:ilvl w:val="0"/>
          <w:numId w:val="0"/>
        </w:numPr>
        <w:spacing w:line="560" w:lineRule="exact"/>
        <w:ind w:firstLine="960" w:firstLineChars="3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二：基本情况</w:t>
      </w:r>
    </w:p>
    <w:p>
      <w:pPr>
        <w:pStyle w:val="4"/>
        <w:numPr>
          <w:ilvl w:val="0"/>
          <w:numId w:val="0"/>
        </w:numPr>
        <w:spacing w:line="560" w:lineRule="exact"/>
        <w:ind w:leftChars="404"/>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 xml:space="preserve">机构情况 </w:t>
      </w:r>
    </w:p>
    <w:p>
      <w:pPr>
        <w:pStyle w:val="4"/>
        <w:numPr>
          <w:ilvl w:val="0"/>
          <w:numId w:val="7"/>
        </w:numPr>
        <w:spacing w:line="560" w:lineRule="exact"/>
        <w:ind w:left="638" w:leftChars="304" w:firstLine="320" w:firstLineChars="1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托里卫生院位于乌鲁木齐以南40公里、托里乡辖区、始建于1958年、占地面积24000平米、办公用房 2772.64平米、依托里卫生院的主要职责内设5个科室、分别为：办公室、公共卫生科职能、老年病防治、传染病防治、妇幼保健、慢性病管理、结核病管理、重症精神病管理、健康教育、计划免疫管理.财务科、化验室、药剂科、辖区内有6所村卫生室。</w:t>
      </w:r>
    </w:p>
    <w:p>
      <w:pPr>
        <w:widowControl w:val="0"/>
        <w:numPr>
          <w:ilvl w:val="0"/>
          <w:numId w:val="0"/>
        </w:numPr>
        <w:snapToGrid w:val="0"/>
        <w:spacing w:line="360" w:lineRule="auto"/>
        <w:jc w:val="both"/>
        <w:rPr>
          <w:rFonts w:hint="eastAsia" w:eastAsia="黑体" w:cs="Times New Roman"/>
          <w:bCs/>
          <w:sz w:val="30"/>
          <w:szCs w:val="32"/>
        </w:rPr>
      </w:pPr>
    </w:p>
    <w:p>
      <w:pPr>
        <w:pStyle w:val="4"/>
        <w:numPr>
          <w:ilvl w:val="0"/>
          <w:numId w:val="7"/>
        </w:numPr>
        <w:spacing w:line="560" w:lineRule="exact"/>
        <w:ind w:left="638" w:leftChars="304" w:firstLine="320" w:firstLineChars="1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人员情况:</w:t>
      </w:r>
    </w:p>
    <w:p>
      <w:pPr>
        <w:pStyle w:val="4"/>
        <w:numPr>
          <w:ilvl w:val="0"/>
          <w:numId w:val="0"/>
        </w:numPr>
        <w:spacing w:line="560" w:lineRule="exact"/>
        <w:ind w:leftChars="404"/>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托里卫生院编制数为10人、现有在职职工10人、其中高级职称1人、中级职称0人、初级职称9人、其他0人、退休职工1人、聘用人员8人。</w:t>
      </w:r>
    </w:p>
    <w:p>
      <w:pPr>
        <w:numPr>
          <w:ilvl w:val="0"/>
          <w:numId w:val="3"/>
        </w:numPr>
        <w:spacing w:line="600" w:lineRule="exact"/>
        <w:ind w:left="420" w:leftChars="200" w:firstLine="640" w:firstLineChars="200"/>
        <w:jc w:val="left"/>
        <w:rPr>
          <w:rFonts w:hint="eastAsia" w:ascii="仿宋" w:hAnsi="仿宋" w:eastAsia="仿宋"/>
          <w:b/>
          <w:sz w:val="32"/>
          <w:szCs w:val="32"/>
          <w:lang w:val="en-US" w:eastAsia="zh-CN"/>
        </w:rPr>
      </w:pPr>
      <w:r>
        <w:rPr>
          <w:rFonts w:hint="eastAsia" w:ascii="仿宋" w:hAnsi="仿宋" w:eastAsia="仿宋"/>
          <w:b/>
          <w:sz w:val="32"/>
          <w:szCs w:val="32"/>
        </w:rPr>
        <w:t>车辆编制情况</w:t>
      </w:r>
      <w:r>
        <w:rPr>
          <w:rFonts w:hint="eastAsia" w:ascii="仿宋" w:hAnsi="仿宋" w:eastAsia="仿宋"/>
          <w:b/>
          <w:sz w:val="32"/>
          <w:szCs w:val="32"/>
          <w:lang w:eastAsia="zh-CN"/>
        </w:rPr>
        <w:t>：</w:t>
      </w:r>
      <w:r>
        <w:rPr>
          <w:rFonts w:hint="eastAsia" w:ascii="仿宋" w:hAnsi="仿宋" w:eastAsia="仿宋"/>
          <w:b/>
          <w:sz w:val="32"/>
          <w:szCs w:val="32"/>
          <w:lang w:val="en-US" w:eastAsia="zh-CN"/>
        </w:rPr>
        <w:t>2017年1辆救护车、1辆越野车。</w:t>
      </w:r>
    </w:p>
    <w:p>
      <w:pPr>
        <w:numPr>
          <w:ilvl w:val="0"/>
          <w:numId w:val="0"/>
        </w:numPr>
        <w:spacing w:line="600" w:lineRule="exact"/>
        <w:ind w:leftChars="400"/>
        <w:jc w:val="left"/>
        <w:rPr>
          <w:rFonts w:hint="eastAsia" w:ascii="仿宋" w:hAnsi="仿宋" w:eastAsia="仿宋"/>
          <w:b/>
          <w:sz w:val="32"/>
          <w:szCs w:val="32"/>
          <w:lang w:val="zh-CN" w:eastAsia="zh-CN"/>
        </w:rPr>
      </w:pPr>
    </w:p>
    <w:p>
      <w:pPr>
        <w:snapToGrid w:val="0"/>
        <w:spacing w:line="360" w:lineRule="auto"/>
        <w:ind w:firstLine="600" w:firstLineChars="200"/>
        <w:rPr>
          <w:rFonts w:hint="eastAsia" w:eastAsia="黑体" w:cs="Times New Roman"/>
          <w:bCs/>
          <w:sz w:val="30"/>
          <w:szCs w:val="32"/>
        </w:rPr>
      </w:pPr>
      <w:r>
        <w:rPr>
          <w:rFonts w:hint="eastAsia" w:eastAsia="黑体" w:cs="Times New Roman"/>
          <w:bCs/>
          <w:sz w:val="30"/>
          <w:szCs w:val="32"/>
          <w:lang w:eastAsia="zh-CN"/>
        </w:rPr>
        <w:t>四</w:t>
      </w:r>
      <w:r>
        <w:rPr>
          <w:rFonts w:hint="eastAsia" w:eastAsia="黑体" w:cs="Times New Roman"/>
          <w:bCs/>
          <w:sz w:val="30"/>
          <w:szCs w:val="32"/>
        </w:rPr>
        <w:t>、</w:t>
      </w:r>
      <w:r>
        <w:rPr>
          <w:rFonts w:hint="eastAsia" w:eastAsia="黑体" w:cs="Times New Roman"/>
          <w:bCs/>
          <w:sz w:val="30"/>
          <w:szCs w:val="32"/>
          <w:lang w:eastAsia="zh-CN"/>
        </w:rPr>
        <w:t>托里卫生院</w:t>
      </w:r>
      <w:r>
        <w:rPr>
          <w:rFonts w:hint="eastAsia" w:eastAsia="黑体" w:cs="Times New Roman"/>
          <w:bCs/>
          <w:sz w:val="30"/>
          <w:szCs w:val="32"/>
        </w:rPr>
        <w:t>收入情况说明</w:t>
      </w:r>
    </w:p>
    <w:p>
      <w:pPr>
        <w:snapToGrid w:val="0"/>
        <w:spacing w:line="360" w:lineRule="auto"/>
        <w:ind w:firstLine="600" w:firstLineChars="200"/>
        <w:rPr>
          <w:rFonts w:hint="eastAsia" w:eastAsia="黑体" w:cs="Times New Roman"/>
          <w:bCs/>
          <w:sz w:val="30"/>
          <w:szCs w:val="32"/>
          <w:lang w:val="en-US" w:eastAsia="zh-CN"/>
        </w:rPr>
      </w:pPr>
      <w:r>
        <w:rPr>
          <w:rFonts w:hint="eastAsia" w:eastAsia="黑体" w:cs="Times New Roman"/>
          <w:bCs/>
          <w:sz w:val="30"/>
          <w:szCs w:val="32"/>
          <w:lang w:val="en-US" w:eastAsia="zh-CN"/>
        </w:rPr>
        <w:t>1、部门收入情况说明</w:t>
      </w:r>
    </w:p>
    <w:p>
      <w:pPr>
        <w:snapToGrid w:val="0"/>
        <w:spacing w:line="360" w:lineRule="auto"/>
        <w:ind w:firstLine="600" w:firstLineChars="200"/>
        <w:rPr>
          <w:rFonts w:hint="eastAsia" w:eastAsia="黑体" w:cs="Times New Roman"/>
          <w:bCs/>
          <w:sz w:val="30"/>
          <w:szCs w:val="32"/>
          <w:lang w:val="en-US" w:eastAsia="zh-CN"/>
        </w:rPr>
      </w:pPr>
      <w:r>
        <w:rPr>
          <w:rFonts w:hint="eastAsia" w:eastAsia="黑体" w:cs="Times New Roman"/>
          <w:bCs/>
          <w:sz w:val="30"/>
          <w:szCs w:val="32"/>
          <w:lang w:val="en-US" w:eastAsia="zh-CN"/>
        </w:rPr>
        <w:t>2016年我院</w:t>
      </w:r>
      <w:r>
        <w:rPr>
          <w:rFonts w:hint="eastAsia" w:eastAsia="黑体" w:cs="Times New Roman"/>
          <w:bCs/>
          <w:sz w:val="30"/>
          <w:szCs w:val="32"/>
          <w:lang w:eastAsia="zh-CN"/>
        </w:rPr>
        <w:t>全年总收入：</w:t>
      </w:r>
      <w:r>
        <w:rPr>
          <w:rFonts w:hint="eastAsia" w:eastAsia="黑体" w:cs="Times New Roman"/>
          <w:bCs/>
          <w:sz w:val="30"/>
          <w:szCs w:val="32"/>
          <w:lang w:val="en-US" w:eastAsia="zh-CN"/>
        </w:rPr>
        <w:t>3021599.10元</w:t>
      </w:r>
    </w:p>
    <w:p>
      <w:pPr>
        <w:snapToGrid w:val="0"/>
        <w:spacing w:line="360" w:lineRule="auto"/>
        <w:ind w:firstLine="600"/>
        <w:rPr>
          <w:rFonts w:hint="eastAsia" w:eastAsia="黑体" w:cs="Times New Roman"/>
          <w:bCs/>
          <w:sz w:val="30"/>
          <w:szCs w:val="32"/>
          <w:lang w:val="en-US" w:eastAsia="zh-CN"/>
        </w:rPr>
      </w:pPr>
      <w:r>
        <w:rPr>
          <w:rFonts w:hint="eastAsia" w:eastAsia="黑体" w:cs="Times New Roman"/>
          <w:bCs/>
          <w:sz w:val="30"/>
          <w:szCs w:val="32"/>
          <w:lang w:val="en-US" w:eastAsia="zh-CN"/>
        </w:rPr>
        <w:t>其中：1、财政补助收入1635837.12元</w:t>
      </w:r>
    </w:p>
    <w:p>
      <w:pPr>
        <w:numPr>
          <w:ilvl w:val="0"/>
          <w:numId w:val="8"/>
        </w:numPr>
        <w:snapToGrid w:val="0"/>
        <w:spacing w:line="360" w:lineRule="auto"/>
        <w:ind w:firstLine="600"/>
        <w:rPr>
          <w:rFonts w:hint="eastAsia" w:eastAsia="黑体" w:cs="Times New Roman"/>
          <w:bCs/>
          <w:sz w:val="30"/>
          <w:szCs w:val="32"/>
          <w:lang w:val="en-US" w:eastAsia="zh-CN"/>
        </w:rPr>
      </w:pPr>
      <w:r>
        <w:rPr>
          <w:rFonts w:hint="eastAsia" w:eastAsia="黑体" w:cs="Times New Roman"/>
          <w:bCs/>
          <w:sz w:val="30"/>
          <w:szCs w:val="32"/>
          <w:lang w:val="en-US" w:eastAsia="zh-CN"/>
        </w:rPr>
        <w:t>事业收入：237162.81元</w:t>
      </w:r>
    </w:p>
    <w:p>
      <w:pPr>
        <w:numPr>
          <w:ilvl w:val="0"/>
          <w:numId w:val="0"/>
        </w:numPr>
        <w:snapToGrid w:val="0"/>
        <w:spacing w:line="360" w:lineRule="auto"/>
        <w:ind w:firstLine="600" w:firstLineChars="200"/>
        <w:rPr>
          <w:rFonts w:hint="eastAsia" w:eastAsia="黑体" w:cs="Times New Roman"/>
          <w:bCs/>
          <w:sz w:val="30"/>
          <w:szCs w:val="32"/>
          <w:lang w:val="en-US" w:eastAsia="zh-CN"/>
        </w:rPr>
      </w:pPr>
      <w:r>
        <w:rPr>
          <w:rFonts w:hint="eastAsia" w:eastAsia="黑体" w:cs="Times New Roman"/>
          <w:bCs/>
          <w:sz w:val="30"/>
          <w:szCs w:val="32"/>
          <w:lang w:val="en-US" w:eastAsia="zh-CN"/>
        </w:rPr>
        <w:t>3、其他收入：1148599.17元</w:t>
      </w:r>
    </w:p>
    <w:p>
      <w:pPr>
        <w:snapToGrid w:val="0"/>
        <w:spacing w:line="360" w:lineRule="auto"/>
        <w:ind w:firstLine="600" w:firstLineChars="200"/>
        <w:rPr>
          <w:rFonts w:hint="eastAsia" w:eastAsia="黑体" w:cs="Times New Roman"/>
          <w:bCs/>
          <w:sz w:val="30"/>
          <w:szCs w:val="32"/>
        </w:rPr>
      </w:pPr>
      <w:r>
        <w:rPr>
          <w:rFonts w:hint="eastAsia" w:eastAsia="黑体" w:cs="Times New Roman"/>
          <w:bCs/>
          <w:sz w:val="30"/>
          <w:szCs w:val="32"/>
          <w:lang w:eastAsia="zh-CN"/>
        </w:rPr>
        <w:t>五、托里卫生院支出</w:t>
      </w:r>
      <w:r>
        <w:rPr>
          <w:rFonts w:hint="eastAsia" w:eastAsia="黑体" w:cs="Times New Roman"/>
          <w:bCs/>
          <w:sz w:val="30"/>
          <w:szCs w:val="32"/>
        </w:rPr>
        <w:t>情况说明</w:t>
      </w:r>
    </w:p>
    <w:p>
      <w:pPr>
        <w:snapToGrid w:val="0"/>
        <w:spacing w:line="360" w:lineRule="auto"/>
        <w:ind w:firstLine="900" w:firstLineChars="300"/>
        <w:rPr>
          <w:rFonts w:hint="eastAsia" w:eastAsia="黑体" w:cs="Times New Roman"/>
          <w:bCs/>
          <w:sz w:val="30"/>
          <w:szCs w:val="32"/>
        </w:rPr>
      </w:pPr>
      <w:r>
        <w:rPr>
          <w:rFonts w:hint="eastAsia" w:eastAsia="黑体" w:cs="Times New Roman"/>
          <w:bCs/>
          <w:sz w:val="30"/>
          <w:szCs w:val="32"/>
          <w:lang w:val="en-US" w:eastAsia="zh-CN"/>
        </w:rPr>
        <w:t>部门支出说明</w:t>
      </w:r>
    </w:p>
    <w:p>
      <w:pPr>
        <w:snapToGrid w:val="0"/>
        <w:spacing w:line="360" w:lineRule="auto"/>
        <w:ind w:firstLine="900" w:firstLineChars="300"/>
        <w:rPr>
          <w:rFonts w:hint="eastAsia" w:eastAsia="黑体" w:cs="Times New Roman"/>
          <w:bCs/>
          <w:sz w:val="30"/>
          <w:szCs w:val="32"/>
          <w:lang w:val="en-US" w:eastAsia="zh-CN"/>
        </w:rPr>
      </w:pPr>
      <w:r>
        <w:rPr>
          <w:rFonts w:hint="eastAsia" w:eastAsia="黑体" w:cs="Times New Roman"/>
          <w:bCs/>
          <w:sz w:val="30"/>
          <w:szCs w:val="32"/>
          <w:lang w:val="en-US" w:eastAsia="zh-CN"/>
        </w:rPr>
        <w:t>2016年全年总支出2856621.88元</w:t>
      </w:r>
    </w:p>
    <w:p>
      <w:pPr>
        <w:snapToGrid w:val="0"/>
        <w:spacing w:line="360" w:lineRule="auto"/>
        <w:ind w:firstLine="900" w:firstLineChars="300"/>
        <w:rPr>
          <w:rFonts w:hint="eastAsia" w:eastAsia="黑体" w:cs="Times New Roman"/>
          <w:bCs/>
          <w:sz w:val="30"/>
          <w:szCs w:val="32"/>
          <w:lang w:val="en-US" w:eastAsia="zh-CN"/>
        </w:rPr>
      </w:pPr>
      <w:r>
        <w:rPr>
          <w:rFonts w:hint="eastAsia" w:eastAsia="黑体" w:cs="Times New Roman"/>
          <w:bCs/>
          <w:sz w:val="30"/>
          <w:szCs w:val="32"/>
          <w:lang w:val="en-US" w:eastAsia="zh-CN"/>
        </w:rPr>
        <w:t>1：基本支出1644168.88元、其中：工资福利1374403.39元、商品和服务支出91750.49元、对个人和家庭补助178015.00元、</w:t>
      </w:r>
    </w:p>
    <w:p>
      <w:pPr>
        <w:snapToGrid w:val="0"/>
        <w:spacing w:line="360" w:lineRule="auto"/>
        <w:ind w:firstLine="900" w:firstLineChars="300"/>
        <w:rPr>
          <w:rFonts w:hint="eastAsia" w:eastAsia="黑体" w:cs="Times New Roman"/>
          <w:bCs/>
          <w:sz w:val="30"/>
          <w:szCs w:val="32"/>
          <w:lang w:val="en-US" w:eastAsia="zh-CN"/>
        </w:rPr>
      </w:pPr>
      <w:r>
        <w:rPr>
          <w:rFonts w:hint="eastAsia" w:eastAsia="黑体" w:cs="Times New Roman"/>
          <w:bCs/>
          <w:sz w:val="30"/>
          <w:szCs w:val="32"/>
          <w:lang w:val="en-US" w:eastAsia="zh-CN"/>
        </w:rPr>
        <w:t>2、专项支出1212453.00元、其中：工资福利384328.00元、其他商品和服务支出538723.00元、对个人和家庭补助289402.00元。</w:t>
      </w:r>
    </w:p>
    <w:p>
      <w:pPr>
        <w:snapToGrid w:val="0"/>
        <w:spacing w:line="360" w:lineRule="auto"/>
        <w:rPr>
          <w:rFonts w:hint="eastAsia" w:eastAsia="黑体" w:cs="Times New Roman"/>
          <w:bCs/>
          <w:sz w:val="30"/>
          <w:szCs w:val="32"/>
          <w:lang w:val="en-US" w:eastAsia="zh-CN"/>
        </w:rPr>
      </w:pPr>
      <w:r>
        <w:rPr>
          <w:rFonts w:hint="eastAsia" w:eastAsia="黑体" w:cs="Times New Roman"/>
          <w:bCs/>
          <w:sz w:val="30"/>
          <w:szCs w:val="32"/>
          <w:lang w:eastAsia="zh-CN"/>
        </w:rPr>
        <w:t>六</w:t>
      </w:r>
      <w:r>
        <w:rPr>
          <w:rFonts w:hint="eastAsia" w:eastAsia="黑体" w:cs="Times New Roman"/>
          <w:bCs/>
          <w:sz w:val="30"/>
          <w:szCs w:val="32"/>
        </w:rPr>
        <w:t>、</w:t>
      </w:r>
      <w:r>
        <w:rPr>
          <w:rFonts w:hint="eastAsia" w:eastAsia="黑体" w:cs="Times New Roman"/>
          <w:bCs/>
          <w:sz w:val="30"/>
          <w:szCs w:val="32"/>
          <w:lang w:eastAsia="zh-CN"/>
        </w:rPr>
        <w:t>托里</w:t>
      </w:r>
      <w:r>
        <w:rPr>
          <w:rFonts w:hint="eastAsia" w:eastAsia="黑体" w:cs="Times New Roman"/>
          <w:bCs/>
          <w:sz w:val="30"/>
          <w:szCs w:val="32"/>
        </w:rPr>
        <w:t>结转结余情况说明</w:t>
      </w:r>
      <w:r>
        <w:rPr>
          <w:rFonts w:hint="eastAsia" w:eastAsia="黑体" w:cs="Times New Roman"/>
          <w:bCs/>
          <w:sz w:val="30"/>
          <w:szCs w:val="32"/>
          <w:lang w:val="en-US" w:eastAsia="zh-CN"/>
        </w:rPr>
        <w:t xml:space="preserve"> </w:t>
      </w:r>
    </w:p>
    <w:p>
      <w:pPr>
        <w:snapToGrid w:val="0"/>
        <w:spacing w:line="360" w:lineRule="auto"/>
        <w:rPr>
          <w:rFonts w:hint="eastAsia" w:eastAsia="黑体" w:cs="Times New Roman"/>
          <w:bCs/>
          <w:sz w:val="30"/>
          <w:szCs w:val="32"/>
          <w:lang w:val="en-US" w:eastAsia="zh-CN"/>
        </w:rPr>
      </w:pPr>
      <w:r>
        <w:rPr>
          <w:rFonts w:hint="eastAsia" w:eastAsia="黑体" w:cs="Times New Roman"/>
          <w:bCs/>
          <w:sz w:val="30"/>
          <w:szCs w:val="32"/>
          <w:lang w:val="en-US" w:eastAsia="zh-CN"/>
        </w:rPr>
        <w:t>2016年全年基本结余：264977.22元、其中基本结余164977.22元、项目结余100000.00元、基本结余转入到事业基金。</w:t>
      </w:r>
    </w:p>
    <w:p>
      <w:pPr>
        <w:numPr>
          <w:ilvl w:val="0"/>
          <w:numId w:val="0"/>
        </w:numPr>
        <w:snapToGrid w:val="0"/>
        <w:spacing w:line="360" w:lineRule="auto"/>
        <w:rPr>
          <w:rFonts w:hint="eastAsia" w:eastAsia="黑体" w:cs="Times New Roman"/>
          <w:bCs/>
          <w:sz w:val="30"/>
          <w:szCs w:val="32"/>
          <w:lang w:eastAsia="zh-CN"/>
        </w:rPr>
      </w:pPr>
      <w:r>
        <w:rPr>
          <w:rFonts w:hint="eastAsia" w:eastAsia="黑体" w:cs="Times New Roman"/>
          <w:bCs/>
          <w:sz w:val="30"/>
          <w:szCs w:val="32"/>
          <w:lang w:eastAsia="zh-CN"/>
        </w:rPr>
        <w:t>七、部门：“三公经费”会议费、培训费支出情况增减变化说明</w:t>
      </w:r>
    </w:p>
    <w:p>
      <w:pPr>
        <w:numPr>
          <w:ilvl w:val="0"/>
          <w:numId w:val="0"/>
        </w:numPr>
        <w:snapToGrid w:val="0"/>
        <w:spacing w:line="360" w:lineRule="auto"/>
        <w:rPr>
          <w:rFonts w:hint="eastAsia" w:eastAsia="黑体" w:cs="Times New Roman"/>
          <w:bCs/>
          <w:sz w:val="30"/>
          <w:szCs w:val="32"/>
          <w:lang w:val="en-US" w:eastAsia="zh-CN"/>
        </w:rPr>
      </w:pPr>
      <w:r>
        <w:rPr>
          <w:rFonts w:hint="eastAsia" w:eastAsia="黑体" w:cs="Times New Roman"/>
          <w:bCs/>
          <w:sz w:val="30"/>
          <w:szCs w:val="32"/>
          <w:lang w:val="en-US" w:eastAsia="zh-CN"/>
        </w:rPr>
        <w:t>2016年托里</w:t>
      </w:r>
      <w:r>
        <w:rPr>
          <w:rFonts w:hint="eastAsia" w:eastAsia="黑体" w:cs="Times New Roman"/>
          <w:bCs/>
          <w:sz w:val="30"/>
          <w:szCs w:val="32"/>
          <w:lang w:eastAsia="zh-CN"/>
        </w:rPr>
        <w:t>卫生院</w:t>
      </w:r>
      <w:r>
        <w:rPr>
          <w:rFonts w:hint="eastAsia" w:eastAsia="黑体" w:cs="Times New Roman"/>
          <w:bCs/>
          <w:sz w:val="30"/>
          <w:szCs w:val="32"/>
        </w:rPr>
        <w:t>“三公”经费</w:t>
      </w:r>
      <w:r>
        <w:rPr>
          <w:rFonts w:hint="eastAsia" w:eastAsia="黑体" w:cs="Times New Roman"/>
          <w:bCs/>
          <w:sz w:val="30"/>
          <w:szCs w:val="32"/>
          <w:lang w:eastAsia="zh-CN"/>
        </w:rPr>
        <w:t>支出情况：因公出国（境）费</w:t>
      </w:r>
      <w:r>
        <w:rPr>
          <w:rFonts w:hint="eastAsia" w:eastAsia="黑体" w:cs="Times New Roman"/>
          <w:bCs/>
          <w:sz w:val="30"/>
          <w:szCs w:val="32"/>
          <w:lang w:val="en-US" w:eastAsia="zh-CN"/>
        </w:rPr>
        <w:t>0元、我单位2016年没有因公出国（境）人数、没有购置公务用车或专用车、公务用车运行维护费71830.00元、公务接待费0元、会议费支出0元、培训费支出：3760.00元、2016年我院“三公经费”总支出71830.00元、2015年公务用车运行维护费77483.48元、同期2016年比2015年减少5653.48元</w:t>
      </w:r>
    </w:p>
    <w:p>
      <w:pPr>
        <w:numPr>
          <w:ilvl w:val="0"/>
          <w:numId w:val="0"/>
        </w:numPr>
        <w:snapToGrid w:val="0"/>
        <w:spacing w:line="360" w:lineRule="auto"/>
        <w:rPr>
          <w:rFonts w:hint="eastAsia" w:eastAsia="黑体" w:cs="Times New Roman"/>
          <w:bCs/>
          <w:sz w:val="30"/>
          <w:szCs w:val="32"/>
          <w:lang w:val="en-US" w:eastAsia="zh-CN"/>
        </w:rPr>
      </w:pPr>
      <w:r>
        <w:rPr>
          <w:rFonts w:hint="eastAsia" w:eastAsia="黑体" w:cs="Times New Roman"/>
          <w:bCs/>
          <w:sz w:val="30"/>
          <w:szCs w:val="32"/>
          <w:lang w:val="en-US" w:eastAsia="zh-CN"/>
        </w:rPr>
        <w:t>同期增减率-7.30</w:t>
      </w:r>
      <w:r>
        <w:rPr>
          <w:rFonts w:hint="eastAsia" w:ascii="宋体" w:hAnsi="宋体" w:eastAsia="宋体" w:cs="宋体"/>
          <w:bCs/>
          <w:sz w:val="30"/>
          <w:szCs w:val="32"/>
          <w:lang w:val="en-US" w:eastAsia="zh-CN"/>
        </w:rPr>
        <w:t>％</w:t>
      </w:r>
      <w:r>
        <w:rPr>
          <w:rFonts w:hint="eastAsia" w:ascii="宋体" w:hAnsi="宋体" w:cs="宋体"/>
          <w:bCs/>
          <w:sz w:val="30"/>
          <w:szCs w:val="32"/>
          <w:lang w:val="en-US" w:eastAsia="zh-CN"/>
        </w:rPr>
        <w:t>、增减原因：我单位积极响应财政要求逐年压缩“三公经费”的支出。</w:t>
      </w:r>
    </w:p>
    <w:p>
      <w:pPr>
        <w:snapToGrid w:val="0"/>
        <w:spacing w:line="360" w:lineRule="auto"/>
        <w:rPr>
          <w:rFonts w:hint="eastAsia" w:eastAsia="黑体" w:cs="Times New Roman"/>
          <w:bCs/>
          <w:sz w:val="30"/>
          <w:szCs w:val="32"/>
        </w:rPr>
      </w:pPr>
      <w:r>
        <w:rPr>
          <w:rFonts w:hint="eastAsia" w:eastAsia="黑体" w:cs="Times New Roman"/>
          <w:bCs/>
          <w:sz w:val="30"/>
          <w:szCs w:val="32"/>
        </w:rPr>
        <w:t xml:space="preserve">     </w:t>
      </w:r>
      <w:r>
        <w:rPr>
          <w:rFonts w:hint="eastAsia" w:eastAsia="黑体" w:cs="Times New Roman"/>
          <w:bCs/>
          <w:sz w:val="30"/>
          <w:szCs w:val="32"/>
          <w:lang w:val="en-US" w:eastAsia="zh-CN"/>
        </w:rPr>
        <w:t xml:space="preserve"> </w:t>
      </w:r>
      <w:r>
        <w:rPr>
          <w:rFonts w:hint="eastAsia" w:eastAsia="黑体" w:cs="Times New Roman"/>
          <w:bCs/>
          <w:sz w:val="30"/>
          <w:szCs w:val="32"/>
        </w:rPr>
        <w:t>六、</w:t>
      </w:r>
      <w:r>
        <w:rPr>
          <w:rFonts w:hint="eastAsia" w:eastAsia="黑体" w:cs="Times New Roman"/>
          <w:bCs/>
          <w:sz w:val="30"/>
          <w:szCs w:val="32"/>
          <w:lang w:eastAsia="zh-CN"/>
        </w:rPr>
        <w:t>托里卫生院</w:t>
      </w:r>
      <w:r>
        <w:rPr>
          <w:rFonts w:hint="eastAsia" w:eastAsia="黑体" w:cs="Times New Roman"/>
          <w:bCs/>
          <w:sz w:val="30"/>
          <w:szCs w:val="32"/>
        </w:rPr>
        <w:t>预算执行情况分析说明</w:t>
      </w:r>
    </w:p>
    <w:p>
      <w:pPr>
        <w:snapToGrid w:val="0"/>
        <w:spacing w:line="360" w:lineRule="auto"/>
        <w:rPr>
          <w:rFonts w:hint="eastAsia" w:eastAsia="黑体" w:cs="Times New Roman"/>
          <w:bCs/>
          <w:sz w:val="30"/>
          <w:szCs w:val="32"/>
          <w:lang w:val="en-US" w:eastAsia="zh-CN"/>
        </w:rPr>
      </w:pPr>
      <w:r>
        <w:rPr>
          <w:rFonts w:hint="eastAsia" w:eastAsia="黑体" w:cs="Times New Roman"/>
          <w:bCs/>
          <w:sz w:val="30"/>
          <w:szCs w:val="32"/>
          <w:lang w:val="en-US" w:eastAsia="zh-CN"/>
        </w:rPr>
        <w:t xml:space="preserve">       2016年我单位预算总收入3021599.10元</w:t>
      </w:r>
    </w:p>
    <w:p>
      <w:pPr>
        <w:snapToGrid w:val="0"/>
        <w:spacing w:line="360" w:lineRule="auto"/>
        <w:rPr>
          <w:rFonts w:hint="eastAsia" w:eastAsia="黑体" w:cs="Times New Roman"/>
          <w:bCs/>
          <w:sz w:val="30"/>
          <w:szCs w:val="32"/>
          <w:lang w:val="en-US" w:eastAsia="zh-CN"/>
        </w:rPr>
      </w:pPr>
      <w:r>
        <w:rPr>
          <w:rFonts w:hint="eastAsia" w:eastAsia="黑体" w:cs="Times New Roman"/>
          <w:bCs/>
          <w:sz w:val="30"/>
          <w:szCs w:val="32"/>
          <w:lang w:val="en-US" w:eastAsia="zh-CN"/>
        </w:rPr>
        <w:t>年末决算总支出2856621.88元、全年有效执行率为94.54</w:t>
      </w:r>
      <w:r>
        <w:rPr>
          <w:rFonts w:hint="eastAsia" w:ascii="宋体" w:hAnsi="宋体" w:eastAsia="宋体" w:cs="宋体"/>
          <w:bCs/>
          <w:sz w:val="30"/>
          <w:szCs w:val="32"/>
          <w:lang w:val="en-US" w:eastAsia="zh-CN"/>
        </w:rPr>
        <w:t>％</w:t>
      </w:r>
    </w:p>
    <w:p>
      <w:pPr>
        <w:numPr>
          <w:ilvl w:val="0"/>
          <w:numId w:val="9"/>
        </w:numPr>
        <w:ind w:left="900" w:leftChars="0" w:firstLine="0" w:firstLineChars="0"/>
        <w:rPr>
          <w:rFonts w:hint="eastAsia" w:eastAsia="黑体" w:cs="Times New Roman"/>
          <w:bCs/>
          <w:sz w:val="30"/>
          <w:szCs w:val="32"/>
        </w:rPr>
      </w:pPr>
      <w:r>
        <w:rPr>
          <w:rFonts w:hint="eastAsia" w:eastAsia="黑体" w:cs="Times New Roman"/>
          <w:bCs/>
          <w:sz w:val="30"/>
          <w:szCs w:val="32"/>
        </w:rPr>
        <w:t>决算收支增减变化情况说明</w:t>
      </w:r>
    </w:p>
    <w:p>
      <w:pPr>
        <w:numPr>
          <w:ilvl w:val="0"/>
          <w:numId w:val="0"/>
        </w:numPr>
        <w:rPr>
          <w:rFonts w:hint="eastAsia" w:eastAsia="黑体" w:cs="Times New Roman"/>
          <w:bCs/>
          <w:sz w:val="30"/>
          <w:szCs w:val="32"/>
          <w:lang w:val="en-US" w:eastAsia="zh-CN"/>
        </w:rPr>
      </w:pPr>
      <w:r>
        <w:rPr>
          <w:rFonts w:hint="eastAsia" w:eastAsia="黑体" w:cs="Times New Roman"/>
          <w:bCs/>
          <w:sz w:val="30"/>
          <w:szCs w:val="32"/>
          <w:lang w:val="en-US" w:eastAsia="zh-CN"/>
        </w:rPr>
        <w:t>2016年托里卫生院总收入3021599.10元、2015年2838458.11元、同期增加183140.99元、增长率为6.45</w:t>
      </w:r>
      <w:r>
        <w:rPr>
          <w:rFonts w:hint="eastAsia" w:ascii="宋体" w:hAnsi="宋体" w:eastAsia="宋体" w:cs="宋体"/>
          <w:bCs/>
          <w:sz w:val="30"/>
          <w:szCs w:val="32"/>
          <w:lang w:val="en-US" w:eastAsia="zh-CN"/>
        </w:rPr>
        <w:t>％</w:t>
      </w:r>
      <w:r>
        <w:rPr>
          <w:rFonts w:hint="eastAsia" w:ascii="宋体" w:hAnsi="宋体" w:cs="宋体"/>
          <w:bCs/>
          <w:sz w:val="30"/>
          <w:szCs w:val="32"/>
          <w:lang w:val="en-US" w:eastAsia="zh-CN"/>
        </w:rPr>
        <w:t>、增长原因我院2016年医疗设备增长更新、医护人员业务水平有所提高、病人逐年增加。</w:t>
      </w:r>
    </w:p>
    <w:p>
      <w:pPr>
        <w:rPr>
          <w:rFonts w:hint="eastAsia" w:eastAsia="黑体" w:cs="Times New Roman"/>
          <w:bCs/>
          <w:sz w:val="30"/>
          <w:szCs w:val="32"/>
        </w:rPr>
      </w:pPr>
      <w:r>
        <w:rPr>
          <w:rFonts w:hint="eastAsia" w:eastAsia="黑体" w:cs="Times New Roman"/>
          <w:bCs/>
          <w:sz w:val="30"/>
          <w:szCs w:val="32"/>
        </w:rPr>
        <w:t xml:space="preserve">     </w:t>
      </w:r>
      <w:r>
        <w:rPr>
          <w:rFonts w:hint="eastAsia" w:eastAsia="黑体" w:cs="Times New Roman"/>
          <w:bCs/>
          <w:sz w:val="30"/>
          <w:szCs w:val="32"/>
          <w:lang w:val="en-US" w:eastAsia="zh-CN"/>
        </w:rPr>
        <w:t xml:space="preserve"> </w:t>
      </w:r>
      <w:r>
        <w:rPr>
          <w:rFonts w:hint="eastAsia" w:eastAsia="黑体" w:cs="Times New Roman"/>
          <w:bCs/>
          <w:sz w:val="30"/>
          <w:szCs w:val="32"/>
        </w:rPr>
        <w:t>八、政府采购执行情况说明</w:t>
      </w:r>
    </w:p>
    <w:p>
      <w:pPr>
        <w:ind w:left="895" w:leftChars="426" w:firstLine="0" w:firstLineChars="0"/>
        <w:rPr>
          <w:rFonts w:hint="eastAsia" w:eastAsia="黑体" w:cs="Times New Roman"/>
          <w:bCs/>
          <w:sz w:val="30"/>
          <w:szCs w:val="32"/>
          <w:lang w:val="en-US" w:eastAsia="zh-CN"/>
        </w:rPr>
      </w:pPr>
      <w:r>
        <w:rPr>
          <w:rFonts w:hint="eastAsia" w:eastAsia="黑体" w:cs="Times New Roman"/>
          <w:bCs/>
          <w:sz w:val="30"/>
          <w:szCs w:val="32"/>
          <w:lang w:val="en-US" w:eastAsia="zh-CN"/>
        </w:rPr>
        <w:t>2016年全年政府采购执行数：0元、托里卫生院规模比较小、人员少支出金额比较少、没有执行政府采购。</w:t>
      </w:r>
    </w:p>
    <w:p>
      <w:pPr>
        <w:numPr>
          <w:ilvl w:val="0"/>
          <w:numId w:val="0"/>
        </w:numPr>
        <w:ind w:left="900" w:leftChars="0"/>
        <w:rPr>
          <w:rFonts w:hint="eastAsia" w:eastAsia="黑体" w:cs="Times New Roman"/>
          <w:bCs/>
          <w:sz w:val="30"/>
          <w:szCs w:val="32"/>
        </w:rPr>
      </w:pPr>
      <w:r>
        <w:rPr>
          <w:rFonts w:hint="eastAsia" w:eastAsia="黑体" w:cs="Times New Roman"/>
          <w:bCs/>
          <w:sz w:val="30"/>
          <w:szCs w:val="32"/>
          <w:lang w:eastAsia="zh-CN"/>
        </w:rPr>
        <w:t>九、</w:t>
      </w:r>
      <w:r>
        <w:rPr>
          <w:rFonts w:hint="eastAsia" w:eastAsia="黑体" w:cs="Times New Roman"/>
          <w:bCs/>
          <w:sz w:val="30"/>
          <w:szCs w:val="32"/>
        </w:rPr>
        <w:t>其他重要事项的情况说明</w:t>
      </w:r>
    </w:p>
    <w:p>
      <w:pPr>
        <w:numPr>
          <w:ilvl w:val="0"/>
          <w:numId w:val="0"/>
        </w:numPr>
        <w:rPr>
          <w:rFonts w:hint="eastAsia" w:eastAsia="黑体" w:cs="Times New Roman"/>
          <w:bCs/>
          <w:sz w:val="30"/>
          <w:szCs w:val="32"/>
          <w:lang w:val="en-US" w:eastAsia="zh-CN"/>
        </w:rPr>
      </w:pPr>
      <w:r>
        <w:rPr>
          <w:rFonts w:hint="eastAsia" w:eastAsia="黑体" w:cs="Times New Roman"/>
          <w:bCs/>
          <w:sz w:val="30"/>
          <w:szCs w:val="32"/>
          <w:lang w:val="en-US" w:eastAsia="zh-CN"/>
        </w:rPr>
        <w:t>1、机关运行经费支出情况说明</w:t>
      </w:r>
    </w:p>
    <w:p>
      <w:pPr>
        <w:numPr>
          <w:ilvl w:val="0"/>
          <w:numId w:val="0"/>
        </w:numPr>
        <w:rPr>
          <w:rFonts w:hint="eastAsia" w:eastAsia="黑体" w:cs="Times New Roman"/>
          <w:bCs/>
          <w:sz w:val="30"/>
          <w:szCs w:val="32"/>
          <w:lang w:val="en-US" w:eastAsia="zh-CN"/>
        </w:rPr>
      </w:pPr>
      <w:r>
        <w:rPr>
          <w:rFonts w:hint="eastAsia" w:eastAsia="黑体" w:cs="Times New Roman"/>
          <w:bCs/>
          <w:sz w:val="30"/>
          <w:szCs w:val="32"/>
          <w:lang w:val="en-US" w:eastAsia="zh-CN"/>
        </w:rPr>
        <w:t>2016年托里卫生院机关运行支出共计630473.49元、其中办公费6216.00、印刷费39559.00元、手续费310.00元、水费8369.82元、电费23851.71、邮电费29760.12元、取暖费74160.00元、、差旅费22160.00元、维修维护费1130.50元、、培训费3760.00元、专用材料费120348.29元、专用燃料费40947.05元、、工会经费16250.00元、其他交通费71830.00元、其他商品和服务支出59921.00元。</w:t>
      </w:r>
    </w:p>
    <w:p>
      <w:pPr>
        <w:numPr>
          <w:ilvl w:val="0"/>
          <w:numId w:val="8"/>
        </w:numPr>
        <w:ind w:left="0" w:leftChars="0" w:firstLine="600" w:firstLineChars="0"/>
        <w:rPr>
          <w:rFonts w:hint="eastAsia" w:eastAsia="黑体" w:cs="Times New Roman"/>
          <w:bCs/>
          <w:sz w:val="30"/>
          <w:szCs w:val="32"/>
          <w:lang w:val="en-US" w:eastAsia="zh-CN"/>
        </w:rPr>
      </w:pPr>
      <w:r>
        <w:rPr>
          <w:rFonts w:hint="eastAsia" w:eastAsia="黑体" w:cs="Times New Roman"/>
          <w:bCs/>
          <w:sz w:val="30"/>
          <w:szCs w:val="32"/>
          <w:lang w:val="en-US" w:eastAsia="zh-CN"/>
        </w:rPr>
        <w:t>部门国有资产占用情况说明</w:t>
      </w:r>
    </w:p>
    <w:p>
      <w:pPr>
        <w:numPr>
          <w:ilvl w:val="0"/>
          <w:numId w:val="0"/>
        </w:numPr>
        <w:rPr>
          <w:rFonts w:hint="eastAsia" w:eastAsia="黑体" w:cs="Times New Roman"/>
          <w:bCs/>
          <w:sz w:val="30"/>
          <w:szCs w:val="32"/>
          <w:lang w:val="en-US" w:eastAsia="zh-CN"/>
        </w:rPr>
      </w:pPr>
      <w:r>
        <w:rPr>
          <w:rFonts w:hint="eastAsia" w:eastAsia="黑体" w:cs="Times New Roman"/>
          <w:bCs/>
          <w:sz w:val="30"/>
          <w:szCs w:val="32"/>
          <w:lang w:val="en-US" w:eastAsia="zh-CN"/>
        </w:rPr>
        <w:t>2016年托里国有资产占用情况、固定资产总值：1539263.90元、其中房屋153508.00元、车辆380000.00元</w:t>
      </w:r>
    </w:p>
    <w:p>
      <w:pPr>
        <w:numPr>
          <w:ilvl w:val="0"/>
          <w:numId w:val="0"/>
        </w:numPr>
        <w:rPr>
          <w:rFonts w:hint="eastAsia" w:eastAsia="黑体" w:cs="Times New Roman"/>
          <w:bCs/>
          <w:sz w:val="30"/>
          <w:szCs w:val="32"/>
          <w:lang w:val="en-US" w:eastAsia="zh-CN"/>
        </w:rPr>
      </w:pPr>
      <w:r>
        <w:rPr>
          <w:rFonts w:hint="eastAsia" w:eastAsia="黑体" w:cs="Times New Roman"/>
          <w:bCs/>
          <w:sz w:val="30"/>
          <w:szCs w:val="32"/>
          <w:lang w:val="en-US" w:eastAsia="zh-CN"/>
        </w:rPr>
        <w:t>共计车辆2辆、越野车车1辆、专用救护车1辆、其他固定资产1005755.90元。</w:t>
      </w:r>
      <w:bookmarkStart w:id="0" w:name="_GoBack"/>
      <w:bookmarkEnd w:id="0"/>
    </w:p>
    <w:p>
      <w:pPr>
        <w:ind w:firstLine="645"/>
        <w:jc w:val="left"/>
        <w:rPr>
          <w:rFonts w:hint="eastAsia" w:eastAsia="黑体" w:cs="Times New Roman"/>
          <w:bCs/>
          <w:sz w:val="30"/>
          <w:szCs w:val="32"/>
        </w:rPr>
      </w:pPr>
      <w:r>
        <w:rPr>
          <w:rFonts w:hint="eastAsia" w:eastAsia="黑体" w:cs="Times New Roman"/>
          <w:bCs/>
          <w:sz w:val="30"/>
          <w:szCs w:val="32"/>
        </w:rPr>
        <w:t xml:space="preserve">    </w:t>
      </w:r>
    </w:p>
    <w:p>
      <w:pPr>
        <w:ind w:firstLine="645"/>
        <w:jc w:val="left"/>
        <w:rPr>
          <w:rFonts w:hint="eastAsia" w:eastAsia="黑体" w:cs="Times New Roman"/>
          <w:bCs/>
          <w:sz w:val="30"/>
          <w:szCs w:val="32"/>
        </w:rPr>
      </w:pPr>
    </w:p>
    <w:p>
      <w:pPr>
        <w:ind w:firstLine="645"/>
        <w:jc w:val="left"/>
        <w:rPr>
          <w:rFonts w:hint="eastAsia" w:eastAsia="黑体" w:cs="Times New Roman"/>
          <w:bCs/>
          <w:sz w:val="30"/>
          <w:szCs w:val="32"/>
        </w:rPr>
      </w:pPr>
    </w:p>
    <w:p>
      <w:pPr>
        <w:ind w:firstLine="645"/>
        <w:jc w:val="left"/>
        <w:rPr>
          <w:rFonts w:hint="eastAsia" w:eastAsia="黑体" w:cs="Times New Roman"/>
          <w:bCs/>
          <w:sz w:val="30"/>
          <w:szCs w:val="32"/>
        </w:rPr>
      </w:pPr>
    </w:p>
    <w:p>
      <w:pPr>
        <w:ind w:firstLine="645"/>
        <w:jc w:val="left"/>
        <w:rPr>
          <w:rFonts w:hint="eastAsia" w:eastAsia="黑体" w:cs="Times New Roman"/>
          <w:bCs/>
          <w:sz w:val="30"/>
          <w:szCs w:val="32"/>
        </w:rPr>
      </w:pPr>
    </w:p>
    <w:p>
      <w:pPr>
        <w:ind w:firstLine="645"/>
        <w:jc w:val="left"/>
        <w:rPr>
          <w:rFonts w:hint="eastAsia" w:eastAsia="黑体" w:cs="Times New Roman"/>
          <w:bCs/>
          <w:sz w:val="30"/>
          <w:szCs w:val="32"/>
        </w:rPr>
      </w:pPr>
    </w:p>
    <w:p>
      <w:pPr>
        <w:ind w:firstLine="645"/>
        <w:jc w:val="left"/>
        <w:rPr>
          <w:rFonts w:hint="eastAsia" w:eastAsia="黑体" w:cs="Times New Roman"/>
          <w:bCs/>
          <w:sz w:val="30"/>
          <w:szCs w:val="32"/>
        </w:rPr>
      </w:pPr>
    </w:p>
    <w:p>
      <w:pPr>
        <w:ind w:firstLine="645"/>
        <w:jc w:val="left"/>
        <w:rPr>
          <w:rFonts w:hint="eastAsia" w:eastAsia="黑体" w:cs="Times New Roman"/>
          <w:bCs/>
          <w:sz w:val="30"/>
          <w:szCs w:val="32"/>
        </w:rPr>
      </w:pPr>
    </w:p>
    <w:p>
      <w:pPr>
        <w:ind w:firstLine="645"/>
        <w:jc w:val="left"/>
        <w:rPr>
          <w:rFonts w:hint="eastAsia" w:eastAsia="黑体" w:cs="Times New Roman"/>
          <w:bCs/>
          <w:sz w:val="30"/>
          <w:szCs w:val="32"/>
        </w:rPr>
      </w:pPr>
    </w:p>
    <w:p>
      <w:pPr>
        <w:ind w:firstLine="645"/>
        <w:jc w:val="left"/>
        <w:rPr>
          <w:rFonts w:hint="eastAsia" w:eastAsia="黑体" w:cs="Times New Roman"/>
          <w:bCs/>
          <w:sz w:val="30"/>
          <w:szCs w:val="32"/>
        </w:rPr>
      </w:pPr>
    </w:p>
    <w:p>
      <w:pPr>
        <w:ind w:firstLine="645"/>
        <w:jc w:val="left"/>
        <w:rPr>
          <w:rFonts w:hint="eastAsia" w:eastAsia="黑体" w:cs="Times New Roman"/>
          <w:bCs/>
          <w:sz w:val="30"/>
          <w:szCs w:val="32"/>
        </w:rPr>
      </w:pPr>
    </w:p>
    <w:p>
      <w:pPr>
        <w:ind w:firstLine="645"/>
        <w:jc w:val="left"/>
        <w:rPr>
          <w:rFonts w:hint="eastAsia" w:eastAsia="黑体" w:cs="Times New Roman"/>
          <w:bCs/>
          <w:sz w:val="30"/>
          <w:szCs w:val="32"/>
        </w:rPr>
      </w:pPr>
    </w:p>
    <w:p>
      <w:pPr>
        <w:ind w:firstLine="645"/>
        <w:jc w:val="left"/>
        <w:rPr>
          <w:rFonts w:hint="eastAsia" w:eastAsia="黑体" w:cs="Times New Roman"/>
          <w:bCs/>
          <w:sz w:val="30"/>
          <w:szCs w:val="32"/>
        </w:rPr>
      </w:pPr>
    </w:p>
    <w:p>
      <w:pPr>
        <w:ind w:firstLine="645"/>
        <w:jc w:val="left"/>
        <w:rPr>
          <w:rFonts w:hint="eastAsia" w:eastAsia="黑体" w:cs="Times New Roman"/>
          <w:bCs/>
          <w:sz w:val="30"/>
          <w:szCs w:val="32"/>
        </w:rPr>
      </w:pPr>
    </w:p>
    <w:p>
      <w:pPr>
        <w:ind w:firstLine="645"/>
        <w:jc w:val="left"/>
        <w:rPr>
          <w:rFonts w:hint="eastAsia" w:eastAsia="黑体" w:cs="Times New Roman"/>
          <w:bCs/>
          <w:sz w:val="30"/>
          <w:szCs w:val="32"/>
        </w:rPr>
      </w:pPr>
    </w:p>
    <w:p>
      <w:pPr>
        <w:ind w:firstLine="645"/>
        <w:jc w:val="left"/>
        <w:rPr>
          <w:rFonts w:hint="eastAsia" w:eastAsia="黑体" w:cs="Times New Roman"/>
          <w:bCs/>
          <w:sz w:val="30"/>
          <w:szCs w:val="32"/>
        </w:rPr>
      </w:pPr>
    </w:p>
    <w:p>
      <w:pPr>
        <w:ind w:firstLine="645"/>
        <w:jc w:val="left"/>
        <w:rPr>
          <w:rFonts w:hint="eastAsia" w:eastAsia="黑体" w:cs="Times New Roman"/>
          <w:bCs/>
          <w:sz w:val="30"/>
          <w:szCs w:val="32"/>
        </w:rPr>
      </w:pPr>
    </w:p>
    <w:p>
      <w:pPr>
        <w:ind w:firstLine="645"/>
        <w:jc w:val="left"/>
        <w:rPr>
          <w:rFonts w:hint="eastAsia" w:eastAsia="黑体" w:cs="Times New Roman"/>
          <w:bCs/>
          <w:sz w:val="30"/>
          <w:szCs w:val="32"/>
        </w:rPr>
      </w:pPr>
    </w:p>
    <w:p>
      <w:pPr>
        <w:ind w:firstLine="645"/>
        <w:jc w:val="left"/>
        <w:rPr>
          <w:rFonts w:hint="eastAsia" w:eastAsia="黑体" w:cs="Times New Roman"/>
          <w:bCs/>
          <w:sz w:val="30"/>
          <w:szCs w:val="32"/>
        </w:rPr>
      </w:pPr>
    </w:p>
    <w:p>
      <w:pPr>
        <w:ind w:firstLine="645"/>
        <w:jc w:val="left"/>
        <w:rPr>
          <w:rFonts w:hint="eastAsia" w:eastAsia="黑体" w:cs="Times New Roman"/>
          <w:bCs/>
          <w:sz w:val="30"/>
          <w:szCs w:val="32"/>
        </w:rPr>
      </w:pPr>
    </w:p>
    <w:p>
      <w:pPr>
        <w:ind w:firstLine="645"/>
        <w:jc w:val="left"/>
        <w:rPr>
          <w:rFonts w:hint="eastAsia" w:eastAsia="黑体" w:cs="Times New Roman"/>
          <w:bCs/>
          <w:sz w:val="30"/>
          <w:szCs w:val="32"/>
        </w:rPr>
      </w:pPr>
    </w:p>
    <w:p>
      <w:pPr>
        <w:ind w:firstLine="645"/>
        <w:jc w:val="left"/>
        <w:rPr>
          <w:rFonts w:hint="eastAsia" w:eastAsia="黑体" w:cs="Times New Roman"/>
          <w:bCs/>
          <w:sz w:val="30"/>
          <w:szCs w:val="32"/>
        </w:rPr>
      </w:pPr>
    </w:p>
    <w:p>
      <w:pPr>
        <w:ind w:firstLine="645"/>
        <w:jc w:val="left"/>
        <w:rPr>
          <w:rFonts w:hint="eastAsia" w:eastAsia="黑体" w:cs="Times New Roman"/>
          <w:bCs/>
          <w:sz w:val="30"/>
          <w:szCs w:val="32"/>
        </w:rPr>
      </w:pPr>
    </w:p>
    <w:p>
      <w:pPr>
        <w:ind w:firstLine="645"/>
        <w:jc w:val="left"/>
        <w:rPr>
          <w:rFonts w:hint="eastAsia" w:eastAsia="黑体" w:cs="Times New Roman"/>
          <w:bCs/>
          <w:sz w:val="30"/>
          <w:szCs w:val="32"/>
        </w:rPr>
      </w:pPr>
    </w:p>
    <w:p>
      <w:pPr>
        <w:ind w:firstLine="645"/>
        <w:jc w:val="left"/>
        <w:rPr>
          <w:rFonts w:hint="eastAsia" w:eastAsia="黑体" w:cs="Times New Roman"/>
          <w:bCs/>
          <w:sz w:val="30"/>
          <w:szCs w:val="32"/>
        </w:rPr>
      </w:pPr>
    </w:p>
    <w:p>
      <w:pPr>
        <w:ind w:firstLine="645"/>
        <w:jc w:val="left"/>
        <w:rPr>
          <w:rFonts w:hint="eastAsia" w:eastAsia="黑体" w:cs="Times New Roman"/>
          <w:bCs/>
          <w:sz w:val="30"/>
          <w:szCs w:val="32"/>
        </w:rPr>
      </w:pPr>
    </w:p>
    <w:p>
      <w:pPr>
        <w:ind w:firstLine="645"/>
        <w:jc w:val="left"/>
        <w:rPr>
          <w:rFonts w:ascii="仿宋" w:hAnsi="仿宋" w:eastAsia="仿宋"/>
          <w:sz w:val="32"/>
          <w:szCs w:val="32"/>
        </w:rPr>
      </w:pPr>
      <w:r>
        <w:rPr>
          <w:rFonts w:hint="eastAsia" w:ascii="仿宋" w:hAnsi="仿宋" w:eastAsia="仿宋"/>
          <w:b/>
          <w:sz w:val="32"/>
          <w:szCs w:val="32"/>
        </w:rPr>
        <w:t>一般公共预算</w:t>
      </w:r>
      <w:r>
        <w:rPr>
          <w:rFonts w:hint="eastAsia" w:ascii="仿宋" w:hAnsi="仿宋" w:eastAsia="仿宋"/>
          <w:sz w:val="32"/>
          <w:szCs w:val="32"/>
        </w:rPr>
        <w:t>：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收入和上年结余收入。地方公共财政支出预算编制内容包括地方本级预算支出、转移性支出、地方政府债券还本支出、安排预算稳定调节基金、增设预算周转金和年终结余。</w:t>
      </w:r>
    </w:p>
    <w:p>
      <w:pPr>
        <w:ind w:firstLine="645"/>
        <w:jc w:val="left"/>
        <w:rPr>
          <w:rFonts w:ascii="仿宋" w:hAnsi="仿宋" w:eastAsia="仿宋"/>
          <w:sz w:val="32"/>
          <w:szCs w:val="32"/>
        </w:rPr>
      </w:pPr>
      <w:r>
        <w:rPr>
          <w:rFonts w:hint="eastAsia" w:ascii="仿宋" w:hAnsi="仿宋" w:eastAsia="仿宋"/>
          <w:b/>
          <w:sz w:val="32"/>
          <w:szCs w:val="32"/>
        </w:rPr>
        <w:t>部门预算</w:t>
      </w:r>
      <w:r>
        <w:rPr>
          <w:rFonts w:hint="eastAsia" w:ascii="仿宋" w:hAnsi="仿宋" w:eastAsia="仿宋"/>
          <w:sz w:val="32"/>
          <w:szCs w:val="32"/>
        </w:rPr>
        <w:t>：指部门依据国家有关政策规定及其行使职能的需要，由基层预算单位编制，逐级上报，经各级政府财政部门汇总审核后提交立法机关依法批准的涵盖部门各项收支的综合财政计划。主要包括部门收入、基本支出和项目支出预算等内容。通俗地讲就是“一个部门、一本预算”。</w:t>
      </w:r>
    </w:p>
    <w:p>
      <w:pPr>
        <w:ind w:firstLine="645"/>
        <w:jc w:val="left"/>
        <w:rPr>
          <w:rFonts w:ascii="仿宋" w:hAnsi="仿宋" w:eastAsia="仿宋"/>
          <w:b/>
          <w:sz w:val="32"/>
          <w:szCs w:val="32"/>
        </w:rPr>
      </w:pPr>
      <w:r>
        <w:rPr>
          <w:rFonts w:hint="eastAsia" w:ascii="仿宋" w:hAnsi="仿宋" w:eastAsia="仿宋"/>
          <w:b/>
          <w:sz w:val="32"/>
          <w:szCs w:val="32"/>
        </w:rPr>
        <w:t>“三公”经费，</w:t>
      </w:r>
      <w:r>
        <w:rPr>
          <w:rFonts w:hint="eastAsia" w:ascii="仿宋" w:hAnsi="仿宋" w:eastAsia="仿宋"/>
          <w:sz w:val="32"/>
          <w:szCs w:val="32"/>
        </w:rPr>
        <w:t>指政府部门人员因公出国（境）经费、公务车购置及运行费、公务招待费产生的消费。</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Century Gothic"/>
    <w:panose1 w:val="020F0502020204030204"/>
    <w:charset w:val="00"/>
    <w:family w:val="swiss"/>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Century Gothic">
    <w:panose1 w:val="020B0502020202020204"/>
    <w:charset w:val="00"/>
    <w:family w:val="auto"/>
    <w:pitch w:val="default"/>
    <w:sig w:usb0="00000287" w:usb1="00000000" w:usb2="00000000" w:usb3="00000000" w:csb0="2000009F" w:csb1="DFD70000"/>
  </w:font>
  <w:font w:name="仿宋">
    <w:altName w:val="微软雅黑"/>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36220A"/>
    <w:multiLevelType w:val="multilevel"/>
    <w:tmpl w:val="1B36220A"/>
    <w:lvl w:ilvl="0" w:tentative="0">
      <w:start w:val="1"/>
      <w:numFmt w:val="japaneseCounting"/>
      <w:lvlText w:val="%1、"/>
      <w:lvlJc w:val="left"/>
      <w:pPr>
        <w:ind w:left="1350" w:hanging="720"/>
      </w:pPr>
      <w:rPr>
        <w:rFonts w:ascii="仿宋" w:hAnsi="仿宋" w:eastAsia="仿宋" w:cs="Times New Roman"/>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1">
    <w:nsid w:val="5A17E810"/>
    <w:multiLevelType w:val="singleLevel"/>
    <w:tmpl w:val="5A17E810"/>
    <w:lvl w:ilvl="0" w:tentative="0">
      <w:start w:val="2"/>
      <w:numFmt w:val="decimal"/>
      <w:suff w:val="nothing"/>
      <w:lvlText w:val="%1、"/>
      <w:lvlJc w:val="left"/>
    </w:lvl>
  </w:abstractNum>
  <w:abstractNum w:abstractNumId="2">
    <w:nsid w:val="5A1D04EB"/>
    <w:multiLevelType w:val="singleLevel"/>
    <w:tmpl w:val="5A1D04EB"/>
    <w:lvl w:ilvl="0" w:tentative="0">
      <w:start w:val="1"/>
      <w:numFmt w:val="chineseCounting"/>
      <w:suff w:val="nothing"/>
      <w:lvlText w:val="%1、"/>
      <w:lvlJc w:val="left"/>
    </w:lvl>
  </w:abstractNum>
  <w:abstractNum w:abstractNumId="3">
    <w:nsid w:val="5A1D0567"/>
    <w:multiLevelType w:val="singleLevel"/>
    <w:tmpl w:val="5A1D0567"/>
    <w:lvl w:ilvl="0" w:tentative="0">
      <w:start w:val="1"/>
      <w:numFmt w:val="decimal"/>
      <w:suff w:val="nothing"/>
      <w:lvlText w:val="%1、"/>
      <w:lvlJc w:val="left"/>
    </w:lvl>
  </w:abstractNum>
  <w:abstractNum w:abstractNumId="4">
    <w:nsid w:val="5A1D0CBE"/>
    <w:multiLevelType w:val="singleLevel"/>
    <w:tmpl w:val="5A1D0CBE"/>
    <w:lvl w:ilvl="0" w:tentative="0">
      <w:start w:val="1"/>
      <w:numFmt w:val="decimal"/>
      <w:suff w:val="nothing"/>
      <w:lvlText w:val="%1、"/>
      <w:lvlJc w:val="left"/>
    </w:lvl>
  </w:abstractNum>
  <w:abstractNum w:abstractNumId="5">
    <w:nsid w:val="5A1D1129"/>
    <w:multiLevelType w:val="singleLevel"/>
    <w:tmpl w:val="5A1D1129"/>
    <w:lvl w:ilvl="0" w:tentative="0">
      <w:start w:val="1"/>
      <w:numFmt w:val="decimal"/>
      <w:suff w:val="nothing"/>
      <w:lvlText w:val="%1、"/>
      <w:lvlJc w:val="left"/>
    </w:lvl>
  </w:abstractNum>
  <w:abstractNum w:abstractNumId="6">
    <w:nsid w:val="5A1D1520"/>
    <w:multiLevelType w:val="singleLevel"/>
    <w:tmpl w:val="5A1D1520"/>
    <w:lvl w:ilvl="0" w:tentative="0">
      <w:start w:val="1"/>
      <w:numFmt w:val="decimal"/>
      <w:suff w:val="nothing"/>
      <w:lvlText w:val="%1、"/>
      <w:lvlJc w:val="left"/>
    </w:lvl>
  </w:abstractNum>
  <w:abstractNum w:abstractNumId="7">
    <w:nsid w:val="5A1E1F3D"/>
    <w:multiLevelType w:val="singleLevel"/>
    <w:tmpl w:val="5A1E1F3D"/>
    <w:lvl w:ilvl="0" w:tentative="0">
      <w:start w:val="1"/>
      <w:numFmt w:val="chineseCounting"/>
      <w:suff w:val="nothing"/>
      <w:lvlText w:val="%1、"/>
      <w:lvlJc w:val="left"/>
      <w:pPr>
        <w:ind w:left="750" w:leftChars="0" w:firstLine="0" w:firstLineChars="0"/>
      </w:pPr>
    </w:lvl>
  </w:abstractNum>
  <w:abstractNum w:abstractNumId="8">
    <w:nsid w:val="5A1E3042"/>
    <w:multiLevelType w:val="singleLevel"/>
    <w:tmpl w:val="5A1E3042"/>
    <w:lvl w:ilvl="0" w:tentative="0">
      <w:start w:val="7"/>
      <w:numFmt w:val="chineseCounting"/>
      <w:suff w:val="nothing"/>
      <w:lvlText w:val="%1、"/>
      <w:lvlJc w:val="left"/>
      <w:pPr>
        <w:ind w:left="900" w:leftChars="0" w:firstLine="0" w:firstLineChars="0"/>
      </w:pPr>
    </w:lvl>
  </w:abstractNum>
  <w:num w:numId="1">
    <w:abstractNumId w:val="7"/>
  </w:num>
  <w:num w:numId="2">
    <w:abstractNumId w:val="0"/>
  </w:num>
  <w:num w:numId="3">
    <w:abstractNumId w:val="2"/>
  </w:num>
  <w:num w:numId="4">
    <w:abstractNumId w:val="3"/>
  </w:num>
  <w:num w:numId="5">
    <w:abstractNumId w:val="4"/>
  </w:num>
  <w:num w:numId="6">
    <w:abstractNumId w:val="5"/>
  </w:num>
  <w:num w:numId="7">
    <w:abstractNumId w:val="6"/>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758B"/>
    <w:rsid w:val="000448B4"/>
    <w:rsid w:val="0096758B"/>
    <w:rsid w:val="08615F02"/>
    <w:rsid w:val="0A685D34"/>
    <w:rsid w:val="13941D71"/>
    <w:rsid w:val="144D443D"/>
    <w:rsid w:val="16ED4FCE"/>
    <w:rsid w:val="249B6E55"/>
    <w:rsid w:val="26147B0F"/>
    <w:rsid w:val="2F2F3FEF"/>
    <w:rsid w:val="2F990DAE"/>
    <w:rsid w:val="319559EB"/>
    <w:rsid w:val="37D34C7A"/>
    <w:rsid w:val="41101480"/>
    <w:rsid w:val="46FC18D9"/>
    <w:rsid w:val="483E1B48"/>
    <w:rsid w:val="51D70ABA"/>
    <w:rsid w:val="54D92023"/>
    <w:rsid w:val="5A742CE9"/>
    <w:rsid w:val="5C1E4605"/>
    <w:rsid w:val="5E7B1C98"/>
    <w:rsid w:val="689F3AF7"/>
    <w:rsid w:val="76801936"/>
    <w:rsid w:val="779F711C"/>
    <w:rsid w:val="7F5F0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117</Words>
  <Characters>668</Characters>
  <Lines>5</Lines>
  <Paragraphs>1</Paragraphs>
  <ScaleCrop>false</ScaleCrop>
  <LinksUpToDate>false</LinksUpToDate>
  <CharactersWithSpaces>784</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2017-11-24T08:59:00Z</dcterms:created>
  <dc:creator>Administrator</dc:creator>
  <cp:lastModifiedBy>Administrator</cp:lastModifiedBy>
  <dcterms:modified xsi:type="dcterms:W3CDTF">2017-11-29T05:19:21Z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